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xml" PartName="/word/comments.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 Target="docProps/custom.xml" Type="http://schemas.openxmlformats.org/officeDocument/2006/relationships/custom-properties" Id="rId4"/></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Tencent Java 1.8.0_262 on Linux -->
    <w:p>
      <w:pPr>
        <w:pStyle w:val="t1"/>
        <w:snapToGrid w:val="false"/>
        <w:spacing w:line="480" w:lineRule="exact"/>
        <w:ind/>
        <w:jc w:val="left"/>
        <w:rPr>
          <w:rFonts w:ascii="仿宋" w:hAnsi="仿宋" w:eastAsia="仿宋"/>
          <w:sz w:val="36"/>
          <w:szCs w:val="36"/>
        </w:rPr>
      </w:pPr>
      <w:r>
        <w:rPr>
          <w:rFonts w:ascii="仿宋" w:hAnsi="仿宋" w:eastAsia="仿宋"/>
          <w:sz w:val="36"/>
          <w:szCs w:val="36"/>
        </w:rPr>
        <w:t>2020级“海洋科学（物理海洋与观测技术）”</w:t>
      </w:r>
      <w:r>
        <w:rPr>
          <w:rFonts w:ascii="仿宋" w:hAnsi="仿宋" w:eastAsia="仿宋"/>
          <w:color w:val="333333"/>
          <w:sz w:val="36"/>
          <w:szCs w:val="36"/>
        </w:rPr>
        <w:t>专业本科人才培养方案</w:t>
      </w:r>
    </w:p>
    <w:p>
      <w:pPr>
        <w:pStyle w:val="heading1"/>
        <w:numPr>
          <w:ilvl w:val="0"/>
          <w:numId w:val="33"/>
        </w:numPr>
        <w:snapToGrid w:val="false"/>
        <w:spacing w:line="480" w:lineRule="exact"/>
        <w:ind w:hangingChars="220"/>
        <w:jc w:val="left"/>
        <w:rPr>
          <w:rFonts w:ascii="仿宋" w:hAnsi="仿宋" w:eastAsia="仿宋"/>
          <w:sz w:val="32"/>
          <w:szCs w:val="32"/>
        </w:rPr>
      </w:pPr>
      <w:r>
        <w:rPr>
          <w:rFonts w:hint="eastAsia"/>
        </w:rPr>
      </w:r>
      <w:r>
        <w:rPr>
          <w:rFonts w:ascii="仿宋" w:hAnsi="仿宋" w:eastAsia="仿宋"/>
          <w:color w:val="000000"/>
          <w:sz w:val="32"/>
          <w:szCs w:val="32"/>
        </w:rPr>
        <w:t>培养目标与规格</w:t>
      </w:r>
    </w:p>
    <w:p>
      <w:pPr>
        <w:snapToGrid w:val="false"/>
        <w:spacing w:before="0" w:after="0" w:line="480" w:lineRule="exact"/>
        <w:ind w:left="0" w:right="0" w:firstLineChars="200"/>
        <w:jc w:val="left"/>
        <w:rPr>
          <w:rFonts w:ascii="仿宋" w:hAnsi="仿宋" w:eastAsia="仿宋"/>
          <w:color w:val="333333"/>
          <w:sz w:val="22"/>
          <w:szCs w:val="22"/>
        </w:rPr>
      </w:pPr>
      <w:r>
        <w:rPr>
          <w:rFonts w:ascii="仿宋" w:hAnsi="仿宋" w:eastAsia="仿宋"/>
          <w:color w:val="000000"/>
          <w:sz w:val="28"/>
          <w:szCs w:val="28"/>
        </w:rPr>
        <w:t>上海交通大学海洋学院致力打造海洋科学与技术交叉融合发展的国际化一流学院。现拥有的专任教师队伍中，各类国家级人才计划入选者20人，超过95%的教师具有海外长期留学、访学或工作经历，是一支完全国际化的教师队伍。师资团队成员长期坚守科研一线，致力于跟踪与探索海洋领域重大科学问题。一流的国际化师资队伍和科研平台为培养一流的本科生打下了坚实基础。</w:t>
      </w:r>
    </w:p>
    <w:p>
      <w:pPr>
        <w:snapToGrid w:val="false"/>
        <w:spacing w:before="0" w:after="0" w:line="480" w:lineRule="exact"/>
        <w:ind w:left="0" w:right="0" w:firstLineChars="200"/>
        <w:jc w:val="left"/>
        <w:rPr>
          <w:rFonts w:ascii="仿宋" w:hAnsi="仿宋" w:eastAsia="仿宋"/>
          <w:color w:val="333333"/>
          <w:sz w:val="22"/>
          <w:szCs w:val="22"/>
        </w:rPr>
      </w:pPr>
      <w:r>
        <w:rPr>
          <w:rFonts w:ascii="仿宋" w:hAnsi="仿宋" w:eastAsia="仿宋"/>
          <w:color w:val="000000"/>
          <w:sz w:val="28"/>
          <w:szCs w:val="28"/>
        </w:rPr>
        <w:t>上海交通大学海洋学院物理海洋学科团队聚焦</w:t>
      </w:r>
      <w:r>
        <w:rPr>
          <w:rFonts w:ascii="仿宋" w:hAnsi="仿宋" w:eastAsia="仿宋"/>
          <w:color w:val="000000"/>
          <w:sz w:val="28"/>
          <w:szCs w:val="28"/>
          <w:shd w:val="clear" w:fill="FFFFFF"/>
        </w:rPr>
        <w:t>海洋中物理和生态过程研究，包括海洋动力学、海气和陆海相互作用、气候变化、及物理海洋过程对生物地球化学过程和生物过程的影响，在大-中-小尺度过程开展观测、理论和数值模拟研究；</w:t>
      </w:r>
      <w:r>
        <w:rPr>
          <w:rFonts w:ascii="仿宋" w:hAnsi="仿宋" w:eastAsia="仿宋"/>
          <w:color w:val="000000"/>
          <w:sz w:val="28"/>
          <w:szCs w:val="28"/>
        </w:rPr>
        <w:t>海洋技术研究团队致力于</w:t>
      </w:r>
      <w:r>
        <w:rPr>
          <w:rFonts w:ascii="仿宋" w:hAnsi="仿宋" w:eastAsia="仿宋"/>
          <w:color w:val="000000"/>
          <w:sz w:val="28"/>
          <w:szCs w:val="28"/>
          <w:shd w:val="clear" w:fill="FFFFFF"/>
        </w:rPr>
        <w:t>支撑海洋科学发展的前沿重大技术难题，紧密围绕海洋生态环境监测、资源开发保护及海洋过程研究的需要，在遥感技术、卫星技术、水下平台技术、和传感器技术等领域开展国际一流的研究工作</w:t>
      </w:r>
      <w:r>
        <w:rPr>
          <w:rFonts w:ascii="仿宋" w:hAnsi="仿宋" w:eastAsia="仿宋"/>
          <w:color w:val="000000"/>
          <w:sz w:val="28"/>
          <w:szCs w:val="28"/>
        </w:rPr>
        <w:t>。</w:t>
      </w:r>
    </w:p>
    <w:p>
      <w:pPr>
        <w:snapToGrid w:val="false"/>
        <w:spacing w:before="0" w:after="0" w:line="480" w:lineRule="exact"/>
        <w:ind w:left="0" w:right="0" w:firstLineChars="200"/>
        <w:jc w:val="left"/>
        <w:rPr>
          <w:rFonts w:ascii="仿宋" w:hAnsi="仿宋" w:eastAsia="仿宋"/>
          <w:color w:val="333333"/>
          <w:sz w:val="22"/>
          <w:szCs w:val="22"/>
        </w:rPr>
      </w:pPr>
      <w:r>
        <w:rPr>
          <w:rFonts w:ascii="仿宋" w:hAnsi="仿宋" w:eastAsia="仿宋"/>
          <w:color w:val="000000"/>
          <w:sz w:val="28"/>
          <w:szCs w:val="28"/>
        </w:rPr>
        <w:t>“</w:t>
      </w:r>
      <w:r>
        <w:rPr>
          <w:rFonts w:ascii="仿宋" w:hAnsi="仿宋" w:eastAsia="仿宋"/>
          <w:color w:val="000000"/>
          <w:sz w:val="28"/>
          <w:szCs w:val="28"/>
        </w:rPr>
        <w:t>海洋科学（物理海洋与观测技术方向）</w:t>
      </w:r>
      <w:r>
        <w:rPr>
          <w:rFonts w:ascii="仿宋" w:hAnsi="仿宋" w:eastAsia="仿宋"/>
          <w:color w:val="000000"/>
          <w:sz w:val="28"/>
          <w:szCs w:val="28"/>
        </w:rPr>
        <w:t>”专业</w:t>
      </w:r>
      <w:r>
        <w:rPr>
          <w:rFonts w:ascii="仿宋" w:hAnsi="仿宋" w:eastAsia="仿宋"/>
          <w:color w:val="000000"/>
          <w:sz w:val="28"/>
          <w:szCs w:val="28"/>
        </w:rPr>
        <w:t>的人才培养目标是培养</w:t>
      </w:r>
      <w:r>
        <w:rPr>
          <w:rFonts w:ascii="仿宋" w:hAnsi="仿宋" w:eastAsia="仿宋"/>
          <w:color w:val="000000"/>
          <w:sz w:val="28"/>
          <w:szCs w:val="28"/>
        </w:rPr>
        <w:t>德智体美劳全面发展，</w:t>
      </w:r>
      <w:r>
        <w:rPr>
          <w:rFonts w:ascii="仿宋" w:hAnsi="仿宋" w:eastAsia="仿宋"/>
          <w:color w:val="000000"/>
          <w:sz w:val="28"/>
          <w:szCs w:val="28"/>
        </w:rPr>
        <w:t>数学、物理、力学、计算机等科学基础扎实，海洋科学与技术基本理论与人文素养深厚、动手实践能力强、专业兴趣驱动多学科协调发展的海洋技术学科领军人才；培养具有家国情怀、批判性思维能力、分析问题与解决问题能力、沟通协调能力、自我学习能力、国际化视野和多元文化包容理解能力的交叉复合型高端人才。毕业生能够从事海洋科学与技术领域相关研发和管理等工作，也可在本专业或其他相关专业继续深造。</w:t>
      </w:r>
    </w:p>
    <w:p>
      <w:pPr>
        <w:pStyle w:val="heading1"/>
        <w:numPr>
          <w:ilvl w:val="0"/>
          <w:numId w:val="33"/>
        </w:numPr>
        <w:snapToGrid w:val="false"/>
        <w:spacing w:line="480" w:lineRule="exact"/>
        <w:ind w:hangingChars="220"/>
        <w:jc w:val="left"/>
        <w:rPr>
          <w:rFonts w:ascii="仿宋" w:hAnsi="仿宋" w:eastAsia="仿宋"/>
          <w:sz w:val="32"/>
          <w:szCs w:val="32"/>
        </w:rPr>
      </w:pPr>
      <w:r>
        <w:rPr>
          <w:rFonts w:hint="eastAsia"/>
        </w:rPr>
      </w:r>
      <w:r>
        <w:rPr>
          <w:rFonts w:ascii="仿宋" w:hAnsi="仿宋" w:eastAsia="仿宋"/>
          <w:color w:val="000000"/>
          <w:sz w:val="32"/>
          <w:szCs w:val="32"/>
        </w:rPr>
        <w:t>规范与要求</w:t>
      </w:r>
    </w:p>
    <w:p>
      <w:pPr>
        <w:snapToGrid w:val="false"/>
        <w:spacing w:before="60" w:after="60" w:line="480" w:lineRule="exact"/>
        <w:ind/>
        <w:jc w:val="left"/>
        <w:rPr>
          <w:rFonts w:ascii="仿宋" w:hAnsi="仿宋" w:eastAsia="仿宋"/>
          <w:b w:val="true"/>
          <w:bCs w:val="true"/>
          <w:color w:val="000000"/>
          <w:sz w:val="28"/>
          <w:szCs w:val="28"/>
        </w:rPr>
      </w:pPr>
      <w:r>
        <w:rPr>
          <w:rFonts w:ascii="仿宋" w:hAnsi="仿宋" w:eastAsia="仿宋"/>
          <w:b w:val="true"/>
          <w:bCs w:val="true"/>
          <w:color w:val="000000"/>
          <w:sz w:val="28"/>
          <w:szCs w:val="28"/>
        </w:rPr>
        <w:t>A 价值引领</w:t>
      </w:r>
    </w:p>
    <w:p>
      <w:pPr>
        <w:snapToGrid w:val="false"/>
        <w:spacing w:before="60" w:after="60" w:line="480" w:lineRule="exact"/>
        <w:ind w:firstLineChars="200"/>
        <w:jc w:val="left"/>
        <w:rPr>
          <w:rFonts w:ascii="仿宋" w:hAnsi="仿宋" w:eastAsia="仿宋"/>
          <w:color w:val="000000"/>
          <w:sz w:val="28"/>
          <w:szCs w:val="28"/>
        </w:rPr>
      </w:pPr>
      <w:r>
        <w:rPr>
          <w:rFonts w:ascii="仿宋" w:hAnsi="仿宋" w:eastAsia="仿宋"/>
          <w:color w:val="000000"/>
          <w:sz w:val="28"/>
          <w:szCs w:val="28"/>
        </w:rPr>
        <w:t>A1 坚定理想信念，践行社会主义核心价值观</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A1.1 道路自信。学习掌握马克思主义世界观和方法论，坚定马克思主义的信仰、社会主义和共产主义的信念、共产主义远大理想和中国特色社会主义共同理想，坚定走中国特色社会主义道路。</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A1.2 理论自信。坚持不懈用习近平新时代中国特色社会主义思想铸魂育人，教育引导学生了解世情国情党情民情，增强对党的创新理论的政治认同、思想认同、情感认同。</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A1.3 制度自信。教育引导学生充分认识中国特色社会主义制度的本质特征和优越性。</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A1.4 文化自信。教育引导学生自觉弘扬和传承中华优秀传统文化、革命文化、社会主义先进文化、社会主义核心价值观，坚定中国特色社会主义自信。</w:t>
      </w:r>
    </w:p>
    <w:p>
      <w:pPr>
        <w:snapToGrid w:val="false"/>
        <w:spacing w:before="60" w:after="60" w:line="480" w:lineRule="exact"/>
        <w:ind w:firstLineChars="200"/>
        <w:jc w:val="left"/>
        <w:rPr>
          <w:rFonts w:ascii="仿宋" w:hAnsi="仿宋" w:eastAsia="仿宋"/>
          <w:color w:val="000000"/>
          <w:sz w:val="28"/>
          <w:szCs w:val="28"/>
        </w:rPr>
      </w:pPr>
      <w:r>
        <w:rPr>
          <w:rFonts w:ascii="仿宋" w:hAnsi="仿宋" w:eastAsia="仿宋"/>
          <w:color w:val="000000"/>
          <w:sz w:val="28"/>
          <w:szCs w:val="28"/>
        </w:rPr>
        <w:t>A2 厚植家国情怀，担当民族伟大复兴重任</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A2.1 民族精神。弘扬以爱国主义为核心的民族精神和以改革创新为核心的时代精神，教育引导学生传承中华文脉，富有中国心、饱含中国情、充满中国味。</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A2.2 使命意识。教育引导学生爱国爱民，树立为祖国为人民永久奋斗、赤诚奉献的坚定理想，立志肩负起民族复兴的时代重任，努力成为社会主义建设者和接班人。</w:t>
      </w:r>
    </w:p>
    <w:p>
      <w:pPr>
        <w:snapToGrid w:val="false"/>
        <w:spacing w:before="60" w:after="60" w:line="480" w:lineRule="exact"/>
        <w:ind w:firstLineChars="200"/>
        <w:jc w:val="left"/>
        <w:rPr>
          <w:rFonts w:ascii="仿宋" w:hAnsi="仿宋" w:eastAsia="仿宋"/>
          <w:color w:val="000000"/>
          <w:sz w:val="28"/>
          <w:szCs w:val="28"/>
        </w:rPr>
      </w:pPr>
      <w:r>
        <w:rPr>
          <w:rFonts w:ascii="仿宋" w:hAnsi="仿宋" w:eastAsia="仿宋"/>
          <w:color w:val="000000"/>
          <w:sz w:val="28"/>
          <w:szCs w:val="28"/>
        </w:rPr>
        <w:t>A3 立足行业领域，矢志成为国家栋梁</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A3.1 行业情怀。教育引导学生树立坚定的专业目标,培养学生的专业志趣，不断激发学生的报国志向和行业情怀。</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A3.2 爱国敬业。教育引导学生修炼专业素养内功，努力成为可堪大用的栋梁之材。</w:t>
      </w:r>
    </w:p>
    <w:p>
      <w:pPr>
        <w:snapToGrid w:val="false"/>
        <w:spacing w:before="60" w:after="60" w:line="480" w:lineRule="exact"/>
        <w:ind w:firstLineChars="200"/>
        <w:jc w:val="left"/>
        <w:rPr>
          <w:rFonts w:ascii="仿宋" w:hAnsi="仿宋" w:eastAsia="仿宋"/>
          <w:color w:val="000000"/>
          <w:sz w:val="28"/>
          <w:szCs w:val="28"/>
        </w:rPr>
      </w:pPr>
      <w:r>
        <w:rPr>
          <w:rFonts w:ascii="仿宋" w:hAnsi="仿宋" w:eastAsia="仿宋"/>
          <w:color w:val="000000"/>
          <w:sz w:val="28"/>
          <w:szCs w:val="28"/>
        </w:rPr>
        <w:t>A4 追求真理，树立创造未来的远大目标</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A4.1 科学精神。把马克思主义立场观点方法的教育与科学精神的培养结合起来，培养学生探索未知、追求真理、勇攀科学高峰的责任感和使命感。</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A4.2 科技报国。培养学生精益求精的大国工匠精神，激发学生科技报国的家国情怀和使命担当。</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A4.3 两山理念。教育引导学生树立和践行绿水青山就是金山银山的理念，培育学生“爱农知农为农”素养，增强学生服务农业农村现代化、服务乡村全面振兴的使命感和责任感。</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A4.4 法治观念。教育引导学生学思践悟习近平全面依法治国新理念新思想新战略，牢固树立法治观念，坚定走中国特色社会主义法治道路的理想和信念。</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A4.5 社会责任。教育引导学生深入社会实践、关注现实问题，培养学生养成遵纪守法、德法兼修、经世济民、诚信服务、无私奉献的素养和品格。</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A4.6 人民立场。引导学生立足时代、扎根人民、深入生活，树立正确的艺术观和创作观，树立学为人师、行为世范的职业理想，着力培养学生“珍爱生命、大医精诚”的救死扶伤精神，做德医双修、仁心仁术的人民生命健康守护者，为人民谋幸福。</w:t>
      </w:r>
    </w:p>
    <w:p>
      <w:pPr>
        <w:snapToGrid w:val="false"/>
        <w:spacing w:before="60" w:after="60" w:line="480" w:lineRule="exact"/>
        <w:ind w:firstLineChars="200"/>
        <w:jc w:val="left"/>
        <w:rPr>
          <w:rFonts w:ascii="仿宋" w:hAnsi="仿宋" w:eastAsia="仿宋"/>
          <w:color w:val="000000"/>
          <w:sz w:val="28"/>
          <w:szCs w:val="28"/>
        </w:rPr>
      </w:pPr>
      <w:r>
        <w:rPr>
          <w:rFonts w:ascii="仿宋" w:hAnsi="仿宋" w:eastAsia="仿宋"/>
          <w:color w:val="000000"/>
          <w:sz w:val="28"/>
          <w:szCs w:val="28"/>
        </w:rPr>
        <w:t>A5 胸怀天下，以增进全人类福祉为己任</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A5.1 全球视野。培养学生的人类情怀、世界胸怀，将“中国梦”与“世界梦”紧密相连，促进学生中西融汇、古今贯通、文理渗透，汲取人类文明精华，为世界谋进步、为人类谋福祉，积极承担构建人类命运共同体的责任与使命。</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A5.2 可持续发展。教育引导学生面向国家战略需求、人类未来发展、思想文化创新和基础学科前沿，增强使命责任，关注气候变化、能源危机、人类健康、地缘冲突、全球治理、可持续发展等人类重大挑战，树立破解人类发展难题的远大志向，孕育产生新思想、新理论。</w:t>
      </w:r>
    </w:p>
    <w:p>
      <w:pPr>
        <w:snapToGrid w:val="false"/>
        <w:spacing w:before="60" w:after="60" w:line="480" w:lineRule="exact"/>
        <w:ind/>
        <w:jc w:val="left"/>
        <w:rPr>
          <w:rFonts w:ascii="仿宋" w:hAnsi="仿宋" w:eastAsia="仿宋"/>
          <w:b w:val="true"/>
          <w:bCs w:val="true"/>
          <w:color w:val="000000"/>
          <w:sz w:val="28"/>
          <w:szCs w:val="28"/>
        </w:rPr>
      </w:pPr>
      <w:r>
        <w:rPr>
          <w:rFonts w:ascii="仿宋" w:hAnsi="仿宋" w:eastAsia="仿宋"/>
          <w:b w:val="true"/>
          <w:bCs w:val="true"/>
          <w:color w:val="000000"/>
          <w:sz w:val="28"/>
          <w:szCs w:val="28"/>
        </w:rPr>
        <w:t>B 知识探究</w:t>
      </w:r>
    </w:p>
    <w:p>
      <w:pPr>
        <w:snapToGrid w:val="false"/>
        <w:spacing w:before="60" w:after="60" w:line="480" w:lineRule="exact"/>
        <w:ind w:firstLineChars="200"/>
        <w:jc w:val="left"/>
        <w:rPr>
          <w:rFonts w:ascii="仿宋" w:hAnsi="仿宋" w:eastAsia="仿宋"/>
          <w:color w:val="000000"/>
          <w:sz w:val="28"/>
          <w:szCs w:val="28"/>
        </w:rPr>
      </w:pPr>
      <w:r>
        <w:rPr>
          <w:rFonts w:ascii="仿宋" w:hAnsi="仿宋" w:eastAsia="仿宋"/>
          <w:color w:val="000000"/>
          <w:sz w:val="28"/>
          <w:szCs w:val="28"/>
        </w:rPr>
        <w:t>B1 深厚的基础理论</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B1.1 数学、物理、化学、生物、计算机等学科基础知识</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B1.2 海洋科学概貌及海洋可持续发展等基本知识</w:t>
      </w:r>
    </w:p>
    <w:p>
      <w:pPr>
        <w:snapToGrid w:val="false"/>
        <w:spacing w:before="60" w:after="6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B2 扎实的专业核心</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B2.1 含物理海洋、生物海洋与海洋生物、化学海洋、地质海洋、海洋技术等领域知识的海洋学导论</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B2.2 流体力学、科学计算、海洋技术、海洋声学、海洋光学、气候学与全球变化等专业核心知识体系</w:t>
      </w:r>
    </w:p>
    <w:p>
      <w:pPr>
        <w:snapToGrid w:val="false"/>
        <w:spacing w:before="60" w:after="60" w:line="480" w:lineRule="exact"/>
        <w:ind w:firstLineChars="200"/>
        <w:jc w:val="left"/>
        <w:rPr>
          <w:rFonts w:ascii="仿宋" w:hAnsi="仿宋" w:eastAsia="仿宋"/>
          <w:color w:val="000000"/>
          <w:sz w:val="28"/>
          <w:szCs w:val="28"/>
        </w:rPr>
      </w:pPr>
      <w:r>
        <w:rPr>
          <w:rFonts w:ascii="仿宋" w:hAnsi="仿宋" w:eastAsia="仿宋"/>
          <w:color w:val="000000"/>
          <w:sz w:val="28"/>
          <w:szCs w:val="28"/>
        </w:rPr>
        <w:t>B3 宽广的跨学科知识</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常微分方程、偏微分方程、常微分方程与偏微分方程的数值解法、数字信号处理、自动控制原理等多学科交叉融合的知识</w:t>
      </w:r>
    </w:p>
    <w:p>
      <w:pPr>
        <w:snapToGrid w:val="false"/>
        <w:spacing w:before="60" w:after="6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B4 领先的专业前沿</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海洋观测方法、海洋机器人原理、图像处理与智能识别、气候学与全球变化、湍流、大气海洋动力学、计算流体力学、粘性流体力学、海洋传感器技术等专业前沿知识</w:t>
      </w:r>
    </w:p>
    <w:p>
      <w:pPr>
        <w:snapToGrid w:val="false"/>
        <w:spacing w:before="60" w:after="60" w:line="480" w:lineRule="exact"/>
        <w:ind w:firstLineChars="200"/>
        <w:jc w:val="left"/>
        <w:rPr>
          <w:rFonts w:ascii="仿宋" w:hAnsi="仿宋" w:eastAsia="仿宋"/>
          <w:color w:val="000000"/>
          <w:sz w:val="28"/>
          <w:szCs w:val="28"/>
        </w:rPr>
      </w:pPr>
      <w:r>
        <w:rPr>
          <w:rFonts w:ascii="仿宋" w:hAnsi="仿宋" w:eastAsia="仿宋"/>
          <w:color w:val="000000"/>
          <w:sz w:val="28"/>
          <w:szCs w:val="28"/>
        </w:rPr>
        <w:t>B5 广博的通识教育</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人文学科、社会科学、自然科学等通识类知识</w:t>
      </w:r>
    </w:p>
    <w:p>
      <w:pPr>
        <w:snapToGrid w:val="false"/>
        <w:spacing w:before="60" w:after="60" w:line="480" w:lineRule="exact"/>
        <w:ind/>
        <w:jc w:val="left"/>
        <w:rPr>
          <w:rFonts w:ascii="仿宋" w:hAnsi="仿宋" w:eastAsia="仿宋"/>
          <w:b w:val="true"/>
          <w:bCs w:val="true"/>
          <w:color w:val="000000"/>
          <w:sz w:val="28"/>
          <w:szCs w:val="28"/>
        </w:rPr>
      </w:pPr>
      <w:r>
        <w:rPr>
          <w:rFonts w:ascii="仿宋" w:hAnsi="仿宋" w:eastAsia="仿宋"/>
          <w:b w:val="true"/>
          <w:bCs w:val="true"/>
          <w:color w:val="000000"/>
          <w:sz w:val="28"/>
          <w:szCs w:val="28"/>
        </w:rPr>
        <w:t>C 能力建设</w:t>
      </w:r>
    </w:p>
    <w:p>
      <w:pPr>
        <w:snapToGrid w:val="false"/>
        <w:spacing w:before="60" w:after="6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C1 审美与鉴赏能力</w:t>
      </w:r>
    </w:p>
    <w:p>
      <w:pPr>
        <w:snapToGrid w:val="false"/>
        <w:spacing w:before="60" w:after="6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C2 沟通协作与管理领导能力</w:t>
      </w:r>
    </w:p>
    <w:p>
      <w:pPr>
        <w:snapToGrid w:val="false"/>
        <w:spacing w:before="60" w:after="6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C3 批判性思维、实践与创新能力</w:t>
      </w:r>
    </w:p>
    <w:p>
      <w:pPr>
        <w:snapToGrid w:val="false"/>
        <w:spacing w:before="60" w:after="6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C4 跨文化沟通交流与全球胜任力</w:t>
      </w:r>
    </w:p>
    <w:p>
      <w:pPr>
        <w:snapToGrid w:val="false"/>
        <w:spacing w:before="60" w:after="6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C5 终身学习和自主学习能力</w:t>
      </w:r>
    </w:p>
    <w:p>
      <w:pPr>
        <w:snapToGrid w:val="false"/>
        <w:spacing w:before="60" w:after="6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C6 至少一门外语的应用能力</w:t>
      </w:r>
    </w:p>
    <w:p>
      <w:pPr>
        <w:snapToGrid w:val="false"/>
        <w:spacing w:before="60" w:after="6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C7 发现、分析与解决问题能力</w:t>
      </w:r>
    </w:p>
    <w:p>
      <w:pPr>
        <w:snapToGrid w:val="false"/>
        <w:spacing w:before="60" w:after="6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C8 国际化视野与多元文化包容理解能力</w:t>
      </w:r>
    </w:p>
    <w:p>
      <w:pPr>
        <w:snapToGrid w:val="false"/>
        <w:spacing w:before="60" w:after="60" w:line="480" w:lineRule="exact"/>
        <w:ind/>
        <w:jc w:val="left"/>
        <w:rPr>
          <w:rFonts w:ascii="仿宋" w:hAnsi="仿宋" w:eastAsia="仿宋"/>
          <w:b w:val="true"/>
          <w:bCs w:val="true"/>
          <w:color w:val="000000"/>
          <w:sz w:val="28"/>
          <w:szCs w:val="28"/>
        </w:rPr>
      </w:pPr>
      <w:r>
        <w:rPr>
          <w:rFonts w:ascii="仿宋" w:hAnsi="仿宋" w:eastAsia="仿宋"/>
          <w:b w:val="true"/>
          <w:bCs w:val="true"/>
          <w:color w:val="000000"/>
          <w:sz w:val="28"/>
          <w:szCs w:val="28"/>
        </w:rPr>
        <w:t>D 人格养成</w:t>
      </w:r>
    </w:p>
    <w:p>
      <w:pPr>
        <w:snapToGrid w:val="false"/>
        <w:spacing w:before="60" w:after="60" w:line="480" w:lineRule="exact"/>
        <w:ind w:firstLineChars="200"/>
        <w:jc w:val="left"/>
        <w:rPr>
          <w:rFonts w:ascii="仿宋" w:hAnsi="仿宋" w:eastAsia="仿宋"/>
          <w:color w:val="000000"/>
          <w:sz w:val="28"/>
          <w:szCs w:val="28"/>
        </w:rPr>
      </w:pPr>
      <w:r>
        <w:rPr>
          <w:rFonts w:ascii="仿宋" w:hAnsi="仿宋" w:eastAsia="仿宋"/>
          <w:color w:val="000000"/>
          <w:sz w:val="28"/>
          <w:szCs w:val="28"/>
        </w:rPr>
        <w:t>D1 刻苦务实、意志坚强</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D1.1 教育引导学生刻苦学习、求真务实，在艰苦奋斗中锤炼意志品质。</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D1.2 教育引导学生勇于实践，树立正确的挫折观，在实践中增长智慧才干。</w:t>
      </w:r>
    </w:p>
    <w:p>
      <w:pPr>
        <w:snapToGrid w:val="false"/>
        <w:spacing w:before="60" w:after="6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D2努力拼搏，敢为人先</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D2.1 培养学生要有敢为人先的锐气，勇于挑战自我,敢于批判与质疑。</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D2.2 培养学生的改革意识，勇于创新创造，努力走在全社会创新的前列。</w:t>
      </w:r>
    </w:p>
    <w:p>
      <w:pPr>
        <w:snapToGrid w:val="false"/>
        <w:spacing w:before="60" w:after="6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D3诚实守信，忠于职守</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D3.1 学习和传承中华民族传统美德，学习和弘扬社会主义新风尚，与人为善，诚实守信。</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D3.2 强化学生的责任担当意识，认真履行职责，爱岗敬业。</w:t>
      </w:r>
    </w:p>
    <w:p>
      <w:pPr>
        <w:snapToGrid w:val="false"/>
        <w:spacing w:before="60" w:after="6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D4身心和谐、体魄强健</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D4.1 培养学生自尊自信、理性平和、积极向上的健康心态。</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D4.2 教育引导学生树立健康第一的教育理念，在体育锻炼和劳动教育中享受乐趣、增强体质、健全人格、锤炼意志。</w:t>
      </w:r>
    </w:p>
    <w:p>
      <w:pPr>
        <w:snapToGrid w:val="false"/>
        <w:spacing w:before="60" w:after="60" w:line="480" w:lineRule="exact"/>
        <w:ind w:firstLineChars="200"/>
        <w:jc w:val="left"/>
        <w:rPr>
          <w:rFonts w:ascii="仿宋" w:hAnsi="仿宋" w:eastAsia="仿宋"/>
          <w:color w:val="000000"/>
          <w:sz w:val="28"/>
          <w:szCs w:val="28"/>
        </w:rPr>
      </w:pPr>
      <w:r>
        <w:rPr>
          <w:rFonts w:ascii="仿宋" w:hAnsi="仿宋" w:eastAsia="仿宋"/>
          <w:color w:val="000000"/>
          <w:sz w:val="28"/>
          <w:szCs w:val="28"/>
        </w:rPr>
        <w:t>D5崇礼明德，仁爱宽容</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D5.1 引导学生不断提升道德认知，强化道德自律，砥砺道德实践，践行文明礼仪，明大德、守公德、严私德，严格约束自己的操守和行为。</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D5.2 培养学生的仁爱之心，树立以人民为中心的价值追求，互敬互重、彼此包容、和谐相处。</w:t>
      </w:r>
    </w:p>
    <w:p>
      <w:pPr>
        <w:pStyle w:val="heading1"/>
        <w:numPr>
          <w:ilvl w:val="0"/>
          <w:numId w:val="33"/>
        </w:numPr>
        <w:snapToGrid w:val="false"/>
        <w:spacing w:line="480" w:lineRule="exact"/>
        <w:ind w:hangingChars="220"/>
        <w:jc w:val="left"/>
        <w:rPr>
          <w:rFonts w:ascii="仿宋" w:hAnsi="仿宋" w:eastAsia="仿宋"/>
          <w:sz w:val="32"/>
          <w:szCs w:val="32"/>
        </w:rPr>
      </w:pPr>
      <w:r>
        <w:rPr>
          <w:rFonts w:hint="eastAsia"/>
        </w:rPr>
      </w:r>
      <w:r>
        <w:rPr>
          <w:rFonts w:ascii="仿宋" w:hAnsi="仿宋" w:eastAsia="仿宋"/>
          <w:color w:val="000000"/>
          <w:sz w:val="32"/>
          <w:szCs w:val="32"/>
        </w:rPr>
        <w:t>课程体系</w:t>
      </w:r>
    </w:p>
    <w:p>
      <w:pPr>
        <w:snapToGrid w:val="false"/>
        <w:spacing w:before="0" w:after="0" w:line="480" w:lineRule="exact"/>
        <w:ind w:left="0" w:right="0" w:firstLineChars="200"/>
        <w:jc w:val="left"/>
        <w:rPr>
          <w:rFonts w:ascii="仿宋" w:hAnsi="仿宋" w:eastAsia="仿宋"/>
          <w:color w:val="333333"/>
          <w:sz w:val="22"/>
          <w:szCs w:val="22"/>
        </w:rPr>
      </w:pPr>
      <w:r>
        <w:rPr>
          <w:rFonts w:ascii="仿宋" w:hAnsi="仿宋" w:eastAsia="仿宋"/>
          <w:color w:val="000000"/>
          <w:sz w:val="28"/>
          <w:szCs w:val="28"/>
        </w:rPr>
        <w:t>本专业课程体系由通识教育课程、专业教育课程、专业实践类课程、个性化教育课程和交叉模块课程五大模块构成，各模块要求如下：</w:t>
      </w:r>
    </w:p>
    <w:p>
      <w:pPr>
        <w:snapToGrid w:val="false"/>
        <w:spacing w:before="0" w:after="0" w:line="480" w:lineRule="exact"/>
        <w:ind w:left="0" w:right="0" w:firstLineChars="200"/>
        <w:jc w:val="left"/>
        <w:rPr>
          <w:rFonts w:ascii="仿宋" w:hAnsi="仿宋" w:eastAsia="仿宋"/>
          <w:color w:val="333333"/>
          <w:sz w:val="22"/>
          <w:szCs w:val="22"/>
        </w:rPr>
      </w:pPr>
      <w:r>
        <w:rPr>
          <w:rFonts w:ascii="仿宋" w:hAnsi="仿宋" w:eastAsia="仿宋"/>
          <w:color w:val="000000"/>
          <w:sz w:val="28"/>
          <w:szCs w:val="28"/>
        </w:rPr>
        <w:t>1.通识教育课程</w:t>
      </w:r>
    </w:p>
    <w:p>
      <w:pPr>
        <w:snapToGrid w:val="false"/>
        <w:spacing w:before="0" w:after="0" w:line="480" w:lineRule="exact"/>
        <w:ind w:left="0" w:right="0" w:firstLineChars="200"/>
        <w:jc w:val="left"/>
        <w:rPr>
          <w:rFonts w:ascii="仿宋" w:hAnsi="仿宋" w:eastAsia="仿宋"/>
          <w:color w:val="333333"/>
          <w:sz w:val="22"/>
          <w:szCs w:val="22"/>
        </w:rPr>
      </w:pPr>
      <w:r>
        <w:rPr>
          <w:rFonts w:ascii="仿宋" w:hAnsi="仿宋" w:eastAsia="仿宋"/>
          <w:color w:val="000000"/>
          <w:sz w:val="28"/>
          <w:szCs w:val="28"/>
        </w:rPr>
        <w:t>通识教育课程包括公共必修课23学分、通识核心课10学分和公共选修课。其中，公共选修课为英语选修课，全部修业期间须修满6学分，且须达到学校英语培养目标基本要求，多修学分计入个性化。通识教育课程总学分最低为39学分。</w:t>
      </w:r>
    </w:p>
    <w:p>
      <w:pPr>
        <w:snapToGrid w:val="false"/>
        <w:spacing w:before="0" w:after="0" w:line="480" w:lineRule="exact"/>
        <w:ind w:left="0" w:right="0" w:firstLineChars="200"/>
        <w:jc w:val="left"/>
        <w:rPr>
          <w:rFonts w:ascii="仿宋" w:hAnsi="仿宋" w:eastAsia="仿宋"/>
          <w:color w:val="333333"/>
          <w:sz w:val="22"/>
          <w:szCs w:val="22"/>
        </w:rPr>
      </w:pPr>
      <w:r>
        <w:rPr>
          <w:rFonts w:ascii="仿宋" w:hAnsi="仿宋" w:eastAsia="仿宋"/>
          <w:color w:val="000000"/>
          <w:sz w:val="28"/>
          <w:szCs w:val="28"/>
        </w:rPr>
        <w:t>2.专业教育课程</w:t>
      </w:r>
    </w:p>
    <w:p>
      <w:pPr>
        <w:snapToGrid w:val="false"/>
        <w:spacing w:before="0" w:after="0" w:line="480" w:lineRule="exact"/>
        <w:ind w:left="0" w:right="0" w:firstLineChars="200"/>
        <w:jc w:val="left"/>
        <w:rPr>
          <w:rFonts w:ascii="仿宋" w:hAnsi="仿宋" w:eastAsia="仿宋"/>
          <w:color w:val="333333"/>
          <w:sz w:val="22"/>
          <w:szCs w:val="22"/>
        </w:rPr>
      </w:pPr>
      <w:r>
        <w:rPr>
          <w:rFonts w:ascii="仿宋" w:hAnsi="仿宋" w:eastAsia="仿宋"/>
          <w:color w:val="000000"/>
          <w:sz w:val="28"/>
          <w:szCs w:val="28"/>
        </w:rPr>
        <w:t>专业教育课程由基础必修课、专业必修课、专业选修课三大部分组成。</w:t>
      </w:r>
    </w:p>
    <w:p>
      <w:pPr>
        <w:snapToGrid w:val="false"/>
        <w:spacing w:before="60" w:after="60" w:line="480" w:lineRule="exact"/>
        <w:ind w:firstLineChars="200"/>
        <w:jc w:val="left"/>
        <w:rPr>
          <w:rFonts w:ascii="仿宋" w:hAnsi="仿宋" w:eastAsia="仿宋"/>
          <w:color w:val="333333"/>
          <w:sz w:val="28"/>
          <w:szCs w:val="28"/>
        </w:rPr>
      </w:pPr>
      <w:r>
        <w:rPr>
          <w:rFonts w:ascii="仿宋" w:hAnsi="仿宋" w:eastAsia="仿宋"/>
          <w:color w:val="000000"/>
          <w:sz w:val="28"/>
          <w:szCs w:val="28"/>
        </w:rPr>
        <w:t>基</w:t>
      </w:r>
      <w:r>
        <w:rPr>
          <w:rFonts w:ascii="仿宋" w:hAnsi="仿宋" w:eastAsia="仿宋"/>
          <w:color w:val="333333"/>
          <w:sz w:val="28"/>
          <w:szCs w:val="28"/>
        </w:rPr>
        <w:t>础必修课包括涉及数学、物理、化学、电学、理学、计算机等知识的14门必修课程，共</w:t>
      </w:r>
      <w:r>
        <w:rPr>
          <w:rFonts w:ascii="仿宋" w:hAnsi="仿宋" w:eastAsia="仿宋"/>
          <w:color w:val="333333"/>
          <w:sz w:val="28"/>
          <w:szCs w:val="28"/>
        </w:rPr>
        <w:t>53</w:t>
      </w:r>
      <w:r>
        <w:rPr>
          <w:rFonts w:ascii="仿宋" w:hAnsi="仿宋" w:eastAsia="仿宋"/>
          <w:color w:val="333333"/>
          <w:sz w:val="28"/>
          <w:szCs w:val="28"/>
        </w:rPr>
        <w:t>学分，须修满全部。</w:t>
      </w:r>
    </w:p>
    <w:p>
      <w:pPr>
        <w:snapToGrid w:val="false"/>
        <w:spacing w:before="60" w:after="60" w:line="480" w:lineRule="exact"/>
        <w:ind w:firstLineChars="200"/>
        <w:jc w:val="left"/>
        <w:rPr>
          <w:rFonts w:ascii="仿宋" w:hAnsi="仿宋" w:eastAsia="仿宋"/>
          <w:color w:val="333333"/>
          <w:sz w:val="28"/>
          <w:szCs w:val="28"/>
        </w:rPr>
      </w:pPr>
      <w:r>
        <w:rPr>
          <w:rFonts w:ascii="仿宋" w:hAnsi="仿宋" w:eastAsia="仿宋"/>
          <w:color w:val="333333"/>
          <w:sz w:val="28"/>
          <w:szCs w:val="28"/>
        </w:rPr>
        <w:t>专业必修课8门课程，共23学分，须修满全部。</w:t>
      </w:r>
    </w:p>
    <w:p>
      <w:pPr>
        <w:snapToGrid w:val="false"/>
        <w:spacing w:before="60" w:after="60" w:line="480" w:lineRule="exact"/>
        <w:ind w:firstLineChars="200"/>
        <w:jc w:val="left"/>
        <w:rPr>
          <w:rFonts w:ascii="仿宋" w:hAnsi="仿宋" w:eastAsia="仿宋"/>
          <w:color w:val="333333"/>
          <w:sz w:val="28"/>
          <w:szCs w:val="28"/>
        </w:rPr>
      </w:pPr>
      <w:r>
        <w:rPr>
          <w:rFonts w:ascii="仿宋" w:hAnsi="仿宋" w:eastAsia="仿宋"/>
          <w:color w:val="333333"/>
          <w:sz w:val="28"/>
          <w:szCs w:val="28"/>
        </w:rPr>
        <w:t>专业选修课要求最低修满15学分，学生必须修完选修核心课中的2门课共6学分，专业选修自选课中任选2门课共6学分，剩余3学分可在专业选修课中任选。</w:t>
      </w:r>
    </w:p>
    <w:p>
      <w:pPr>
        <w:snapToGrid w:val="false"/>
        <w:spacing w:before="0" w:after="0" w:line="480" w:lineRule="exact"/>
        <w:ind w:left="0" w:right="0" w:firstLineChars="200"/>
        <w:jc w:val="left"/>
        <w:rPr>
          <w:rFonts w:ascii="仿宋" w:hAnsi="仿宋" w:eastAsia="仿宋"/>
          <w:color w:val="333333"/>
          <w:sz w:val="22"/>
          <w:szCs w:val="22"/>
        </w:rPr>
      </w:pPr>
      <w:r>
        <w:rPr>
          <w:rFonts w:ascii="仿宋" w:hAnsi="仿宋" w:eastAsia="仿宋"/>
          <w:color w:val="000000"/>
          <w:sz w:val="28"/>
          <w:szCs w:val="28"/>
        </w:rPr>
        <w:t>3.实践教育课程</w:t>
      </w:r>
    </w:p>
    <w:p>
      <w:pPr>
        <w:snapToGrid w:val="false"/>
        <w:spacing w:before="0" w:after="0" w:line="480" w:lineRule="exact"/>
        <w:ind w:left="0" w:right="0" w:firstLineChars="200"/>
        <w:jc w:val="left"/>
        <w:rPr>
          <w:rFonts w:ascii="仿宋" w:hAnsi="仿宋" w:eastAsia="仿宋"/>
          <w:color w:val="333333"/>
          <w:sz w:val="22"/>
          <w:szCs w:val="22"/>
        </w:rPr>
      </w:pPr>
      <w:r>
        <w:rPr>
          <w:rFonts w:ascii="仿宋" w:hAnsi="仿宋" w:eastAsia="仿宋"/>
          <w:color w:val="000000"/>
          <w:sz w:val="28"/>
          <w:szCs w:val="28"/>
        </w:rPr>
        <w:t>专业实践课程由必修的实验、各类实习实践、专业综合训练等类课程组成，共须修满26学分。</w:t>
      </w:r>
    </w:p>
    <w:p>
      <w:pPr>
        <w:snapToGrid w:val="false"/>
        <w:spacing w:before="0" w:after="0" w:line="480" w:lineRule="exact"/>
        <w:ind w:left="0" w:right="0" w:firstLineChars="200"/>
        <w:jc w:val="left"/>
        <w:rPr>
          <w:rFonts w:ascii="仿宋" w:hAnsi="仿宋" w:eastAsia="仿宋"/>
          <w:color w:val="333333"/>
          <w:sz w:val="22"/>
          <w:szCs w:val="22"/>
        </w:rPr>
      </w:pPr>
      <w:r>
        <w:rPr>
          <w:rFonts w:ascii="仿宋" w:hAnsi="仿宋" w:eastAsia="仿宋"/>
          <w:color w:val="000000"/>
          <w:sz w:val="28"/>
          <w:szCs w:val="28"/>
        </w:rPr>
        <w:t>4.个性化教育课程</w:t>
      </w:r>
    </w:p>
    <w:p>
      <w:pPr>
        <w:snapToGrid w:val="false"/>
        <w:spacing w:before="0" w:after="0" w:line="480" w:lineRule="exact"/>
        <w:ind w:left="0" w:right="0" w:firstLineChars="200"/>
        <w:jc w:val="left"/>
        <w:rPr>
          <w:rFonts w:ascii="仿宋" w:hAnsi="仿宋" w:eastAsia="仿宋"/>
          <w:color w:val="333333"/>
          <w:sz w:val="22"/>
          <w:szCs w:val="22"/>
        </w:rPr>
      </w:pPr>
      <w:r>
        <w:rPr>
          <w:rFonts w:ascii="仿宋" w:hAnsi="仿宋" w:eastAsia="仿宋"/>
          <w:color w:val="000000"/>
          <w:sz w:val="28"/>
          <w:szCs w:val="28"/>
        </w:rPr>
        <w:t>个性化教育课程可选修本专业培养计划规定学分以为外、全校范围内的任何可获得学分课程，包括：本专业选修、公共选修、外专业培养计划内课程；大学生PRP项目、大学生科创项目等实践活动。个性化教育课程须修满6学分。选修二专或辅修专业所获学分可冲抵个性化教育课程学分。</w:t>
      </w:r>
    </w:p>
    <w:p>
      <w:pPr>
        <w:snapToGrid w:val="false"/>
        <w:spacing w:before="0" w:after="0" w:line="480" w:lineRule="exact"/>
        <w:ind w:left="0" w:right="0" w:firstLineChars="200"/>
        <w:jc w:val="left"/>
        <w:rPr>
          <w:rFonts w:ascii="仿宋" w:hAnsi="仿宋" w:eastAsia="仿宋"/>
          <w:color w:val="333333"/>
          <w:sz w:val="22"/>
          <w:szCs w:val="22"/>
        </w:rPr>
      </w:pPr>
      <w:r>
        <w:rPr>
          <w:rFonts w:ascii="仿宋" w:hAnsi="仿宋" w:eastAsia="仿宋"/>
          <w:color w:val="000000"/>
          <w:sz w:val="28"/>
          <w:szCs w:val="28"/>
        </w:rPr>
        <w:t>5.交叉模块课程</w:t>
      </w:r>
    </w:p>
    <w:p>
      <w:pPr>
        <w:snapToGrid w:val="false"/>
        <w:spacing w:before="0" w:after="0" w:line="480" w:lineRule="exact"/>
        <w:ind w:left="0" w:right="0" w:firstLineChars="200"/>
        <w:jc w:val="left"/>
        <w:rPr>
          <w:rFonts w:ascii="仿宋" w:hAnsi="仿宋" w:eastAsia="仿宋"/>
          <w:color w:val="333333"/>
          <w:sz w:val="22"/>
          <w:szCs w:val="22"/>
        </w:rPr>
      </w:pPr>
      <w:r>
        <w:rPr>
          <w:rFonts w:ascii="仿宋" w:hAnsi="仿宋" w:eastAsia="仿宋"/>
          <w:color w:val="000000"/>
          <w:sz w:val="28"/>
          <w:szCs w:val="28"/>
        </w:rPr>
        <w:t>根据学校规定，选修一个交叉模块，并修满6学分。</w:t>
      </w:r>
    </w:p>
    <w:p>
      <w:pPr>
        <w:pStyle w:val="heading1"/>
        <w:numPr>
          <w:ilvl w:val="0"/>
          <w:numId w:val="33"/>
        </w:numPr>
        <w:snapToGrid w:val="false"/>
        <w:spacing w:line="480" w:lineRule="exact"/>
        <w:ind w:hangingChars="220"/>
        <w:jc w:val="left"/>
        <w:rPr>
          <w:rFonts w:ascii="仿宋" w:hAnsi="仿宋" w:eastAsia="仿宋"/>
          <w:sz w:val="32"/>
          <w:szCs w:val="32"/>
        </w:rPr>
      </w:pPr>
      <w:r>
        <w:rPr>
          <w:rFonts w:hint="eastAsia"/>
        </w:rPr>
      </w:r>
      <w:r>
        <w:rPr>
          <w:rFonts w:ascii="仿宋" w:hAnsi="仿宋" w:eastAsia="仿宋"/>
          <w:color w:val="000000"/>
          <w:sz w:val="32"/>
          <w:szCs w:val="32"/>
        </w:rPr>
        <w:t>学制、毕业学位</w:t>
      </w:r>
    </w:p>
    <w:p>
      <w:pPr>
        <w:snapToGrid w:val="false"/>
        <w:spacing w:before="60" w:after="60" w:line="480" w:lineRule="exact"/>
        <w:ind w:firstLineChars="200"/>
        <w:jc w:val="left"/>
        <w:rPr>
          <w:rFonts w:ascii="仿宋" w:hAnsi="仿宋" w:eastAsia="仿宋"/>
          <w:color w:val="333333"/>
          <w:sz w:val="22"/>
          <w:szCs w:val="22"/>
        </w:rPr>
      </w:pPr>
      <w:r>
        <w:rPr>
          <w:rFonts w:ascii="仿宋" w:hAnsi="仿宋" w:eastAsia="仿宋"/>
          <w:color w:val="000000"/>
          <w:sz w:val="28"/>
          <w:szCs w:val="28"/>
        </w:rPr>
        <w:t>“</w:t>
      </w:r>
      <w:r>
        <w:rPr>
          <w:rFonts w:ascii="仿宋" w:hAnsi="仿宋" w:eastAsia="仿宋"/>
          <w:color w:val="000000"/>
          <w:sz w:val="28"/>
          <w:szCs w:val="28"/>
        </w:rPr>
        <w:t>海洋科学（物理海洋与观测技术方向）</w:t>
      </w:r>
      <w:r>
        <w:rPr>
          <w:rFonts w:ascii="仿宋" w:hAnsi="仿宋" w:eastAsia="仿宋"/>
          <w:color w:val="000000"/>
          <w:sz w:val="28"/>
          <w:szCs w:val="28"/>
        </w:rPr>
        <w:t>”专业</w:t>
      </w:r>
      <w:r>
        <w:rPr>
          <w:rFonts w:ascii="仿宋" w:hAnsi="仿宋" w:eastAsia="仿宋"/>
          <w:color w:val="000000"/>
          <w:sz w:val="28"/>
          <w:szCs w:val="28"/>
        </w:rPr>
        <w:t>学制4年，允许学生在修完本专业培养计划规定的16</w:t>
      </w:r>
      <w:r>
        <w:rPr>
          <w:rFonts w:ascii="仿宋" w:hAnsi="仿宋" w:eastAsia="仿宋"/>
          <w:color w:val="000000"/>
          <w:sz w:val="28"/>
          <w:szCs w:val="28"/>
        </w:rPr>
        <w:t>8</w:t>
      </w:r>
      <w:r>
        <w:rPr>
          <w:rFonts w:ascii="仿宋" w:hAnsi="仿宋" w:eastAsia="仿宋"/>
          <w:color w:val="000000"/>
          <w:sz w:val="28"/>
          <w:szCs w:val="28"/>
        </w:rPr>
        <w:t>学分后提前毕业，也允许延长学习年限，但一般不得超过六年。学生修读完本培养计划规定的课程及教学实践环节，取得规定的学分，完成毕业设计（论文），通过答辩，德智体考核合格，</w:t>
      </w:r>
      <w:r>
        <w:rPr>
          <w:rFonts w:ascii="仿宋" w:hAnsi="仿宋" w:eastAsia="仿宋"/>
          <w:color w:val="333333"/>
          <w:sz w:val="28"/>
          <w:szCs w:val="28"/>
        </w:rPr>
        <w:t>并通过游泳技能达标测试，</w:t>
      </w:r>
      <w:r>
        <w:rPr>
          <w:rFonts w:ascii="仿宋" w:hAnsi="仿宋" w:eastAsia="仿宋"/>
          <w:color w:val="000000"/>
          <w:sz w:val="28"/>
          <w:szCs w:val="28"/>
        </w:rPr>
        <w:t>按照《中华人民共和国学位条例》规定的条件授予理学学士学位。</w:t>
      </w:r>
    </w:p>
    <w:p>
      <w:pPr>
        <w:snapToGrid w:val="false"/>
        <w:spacing w:before="60" w:after="60" w:line="480" w:lineRule="exact"/>
        <w:ind/>
        <w:jc w:val="left"/>
        <w:rPr>
          <w:rFonts w:ascii="仿宋" w:hAnsi="仿宋" w:eastAsia="仿宋"/>
          <w:color w:val="333333"/>
          <w:sz w:val="22"/>
          <w:szCs w:val="22"/>
        </w:rPr>
      </w:pPr>
      <w:r>
        <w:rPr>
          <w:rFonts w:ascii="仿宋" w:hAnsi="仿宋" w:eastAsia="仿宋"/>
          <w:color w:val="333333"/>
          <w:sz w:val="22"/>
          <w:szCs w:val="22"/>
        </w:rPr>
      </w:r>
    </w:p>
    <w:sectPr w:rsidR="00C604EC">
      <w:pgSz w:w="11906" w:h="16838"/>
      <w:pgMar w:top="1361" w:right="1417" w:bottom="1361" w:left="1417" w:header="851" w:footer="992" w:gutter="0"/>
      <w:cols w:space="425"/>
      <w:docGrid w:type="lines" w:linePitch="312"/>
    </w:sectPr>
  </w:body>
</w:document>
</file>

<file path=word/comments.xml><?xml version="1.0" encoding="utf-8"?>
<w:comment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commentsExtended.xml><?xml version="1.0" encoding="utf-8"?>
<w15:commentsEx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1E537D43"/>
    <w:multiLevelType w:val="multilevel"/>
    <w:tmpl w:val="1E537D43"/>
    <w:lvl w:ilvl="0">
      <w:start w:val="1"/>
      <w:numFmt w:val="bullet"/>
      <w:lvlText w:val=""/>
      <w:lvlJc w:val="left"/>
      <w:pPr>
        <w:ind w:left="227" w:hanging="227"/>
      </w:pPr>
      <w:rPr>
        <w:rFonts w:hint="default" w:ascii="Wingdings" w:hAnsi="Wingdings"/>
      </w:rPr>
    </w:lvl>
    <w:lvl w:ilvl="1">
      <w:start w:val="1"/>
      <w:numFmt w:val="bullet"/>
      <w:lvlText w:val=""/>
      <w:lvlJc w:val="left"/>
      <w:pPr>
        <w:ind w:left="567" w:hanging="227"/>
      </w:pPr>
      <w:rPr>
        <w:rFonts w:hint="default" w:ascii="Wingdings" w:hAnsi="Wingdings"/>
      </w:rPr>
    </w:lvl>
    <w:lvl w:ilvl="2">
      <w:start w:val="1"/>
      <w:numFmt w:val="bullet"/>
      <w:lvlText w:val=""/>
      <w:lvlJc w:val="left"/>
      <w:pPr>
        <w:ind w:left="907" w:hanging="227"/>
      </w:pPr>
      <w:rPr>
        <w:rFonts w:hint="default" w:ascii="Wingdings" w:hAnsi="Wingdings"/>
      </w:rPr>
    </w:lvl>
    <w:lvl w:ilvl="3">
      <w:start w:val="1"/>
      <w:numFmt w:val="bullet"/>
      <w:lvlText w:val=""/>
      <w:lvlJc w:val="left"/>
      <w:pPr>
        <w:ind w:left="1247" w:hanging="227"/>
      </w:pPr>
      <w:rPr>
        <w:rFonts w:hint="default" w:ascii="Wingdings" w:hAnsi="Wingdings"/>
      </w:rPr>
    </w:lvl>
    <w:lvl w:ilvl="4">
      <w:start w:val="1"/>
      <w:numFmt w:val="bullet"/>
      <w:lvlText w:val=""/>
      <w:lvlJc w:val="left"/>
      <w:pPr>
        <w:ind w:left="1587" w:hanging="227"/>
      </w:pPr>
      <w:rPr>
        <w:rFonts w:hint="default" w:ascii="Wingdings" w:hAnsi="Wingdings"/>
      </w:rPr>
    </w:lvl>
    <w:lvl w:ilvl="5">
      <w:start w:val="1"/>
      <w:numFmt w:val="bullet"/>
      <w:lvlText w:val=""/>
      <w:lvlJc w:val="left"/>
      <w:pPr>
        <w:ind w:left="1927" w:hanging="227"/>
      </w:pPr>
      <w:rPr>
        <w:rFonts w:hint="default" w:ascii="Wingdings" w:hAnsi="Wingdings"/>
      </w:rPr>
    </w:lvl>
    <w:lvl w:ilvl="6">
      <w:start w:val="1"/>
      <w:numFmt w:val="bullet"/>
      <w:lvlText w:val=""/>
      <w:lvlJc w:val="left"/>
      <w:pPr>
        <w:ind w:left="2267" w:hanging="227"/>
      </w:pPr>
      <w:rPr>
        <w:rFonts w:hint="default" w:ascii="Wingdings" w:hAnsi="Wingdings"/>
      </w:rPr>
    </w:lvl>
    <w:lvl w:ilvl="7">
      <w:start w:val="1"/>
      <w:numFmt w:val="bullet"/>
      <w:lvlText w:val=""/>
      <w:lvlJc w:val="left"/>
      <w:pPr>
        <w:ind w:left="2607" w:hanging="227"/>
      </w:pPr>
      <w:rPr>
        <w:rFonts w:hint="default" w:ascii="Wingdings" w:hAnsi="Wingdings"/>
      </w:rPr>
    </w:lvl>
    <w:lvl w:ilvl="8">
      <w:start w:val="1"/>
      <w:numFmt w:val="bullet"/>
      <w:lvlText w:val=""/>
      <w:lvlJc w:val="left"/>
      <w:pPr>
        <w:ind w:left="2947" w:hanging="227"/>
      </w:pPr>
      <w:rPr>
        <w:rFonts w:hint="default" w:ascii="Wingdings" w:hAnsi="Wingdings"/>
      </w:rPr>
    </w:lvl>
  </w:abstractNum>
  <w:abstractNum w:abstractNumId="1">
    <w:nsid w:val="323C7824"/>
    <w:multiLevelType w:val="multilevel"/>
    <w:tmpl w:val="323C7824"/>
    <w:lvl w:ilvl="0">
      <w:start w:val="1"/>
      <w:numFmt w:val="bullet"/>
      <w:lvlText w:val=""/>
      <w:lvlJc w:val="left"/>
      <w:pPr>
        <w:ind w:left="227" w:hanging="227"/>
      </w:pPr>
      <w:rPr>
        <w:rFonts w:hint="default" w:ascii="Wingdings" w:hAnsi="Wingdings"/>
      </w:rPr>
    </w:lvl>
    <w:lvl w:ilvl="1">
      <w:start w:val="1"/>
      <w:numFmt w:val="bullet"/>
      <w:lvlText w:val=""/>
      <w:lvlJc w:val="left"/>
      <w:pPr>
        <w:ind w:left="567" w:hanging="227"/>
      </w:pPr>
      <w:rPr>
        <w:rFonts w:hint="default" w:ascii="Wingdings" w:hAnsi="Wingdings"/>
      </w:rPr>
    </w:lvl>
    <w:lvl w:ilvl="2">
      <w:start w:val="1"/>
      <w:numFmt w:val="bullet"/>
      <w:lvlText w:val=""/>
      <w:lvlJc w:val="left"/>
      <w:pPr>
        <w:ind w:left="907" w:hanging="227"/>
      </w:pPr>
      <w:rPr>
        <w:rFonts w:hint="default" w:ascii="Wingdings" w:hAnsi="Wingdings"/>
      </w:rPr>
    </w:lvl>
    <w:lvl w:ilvl="3">
      <w:start w:val="1"/>
      <w:numFmt w:val="bullet"/>
      <w:lvlText w:val=""/>
      <w:lvlJc w:val="left"/>
      <w:pPr>
        <w:ind w:left="1247" w:hanging="227"/>
      </w:pPr>
      <w:rPr>
        <w:rFonts w:hint="default" w:ascii="Wingdings" w:hAnsi="Wingdings"/>
      </w:rPr>
    </w:lvl>
    <w:lvl w:ilvl="4">
      <w:start w:val="1"/>
      <w:numFmt w:val="bullet"/>
      <w:lvlText w:val=""/>
      <w:lvlJc w:val="left"/>
      <w:pPr>
        <w:ind w:left="1587" w:hanging="227"/>
      </w:pPr>
      <w:rPr>
        <w:rFonts w:hint="default" w:ascii="Wingdings" w:hAnsi="Wingdings"/>
      </w:rPr>
    </w:lvl>
    <w:lvl w:ilvl="5">
      <w:start w:val="1"/>
      <w:numFmt w:val="bullet"/>
      <w:lvlText w:val=""/>
      <w:lvlJc w:val="left"/>
      <w:pPr>
        <w:ind w:left="1927" w:hanging="227"/>
      </w:pPr>
      <w:rPr>
        <w:rFonts w:hint="default" w:ascii="Wingdings" w:hAnsi="Wingdings"/>
      </w:rPr>
    </w:lvl>
    <w:lvl w:ilvl="6">
      <w:start w:val="1"/>
      <w:numFmt w:val="bullet"/>
      <w:lvlText w:val=""/>
      <w:lvlJc w:val="left"/>
      <w:pPr>
        <w:ind w:left="2267" w:hanging="227"/>
      </w:pPr>
      <w:rPr>
        <w:rFonts w:hint="default" w:ascii="Wingdings" w:hAnsi="Wingdings"/>
      </w:rPr>
    </w:lvl>
    <w:lvl w:ilvl="7">
      <w:start w:val="1"/>
      <w:numFmt w:val="bullet"/>
      <w:lvlText w:val=""/>
      <w:lvlJc w:val="left"/>
      <w:pPr>
        <w:ind w:left="2607" w:hanging="227"/>
      </w:pPr>
      <w:rPr>
        <w:rFonts w:hint="default" w:ascii="Wingdings" w:hAnsi="Wingdings"/>
      </w:rPr>
    </w:lvl>
    <w:lvl w:ilvl="8">
      <w:start w:val="1"/>
      <w:numFmt w:val="bullet"/>
      <w:lvlText w:val=""/>
      <w:lvlJc w:val="left"/>
      <w:pPr>
        <w:ind w:left="2947" w:hanging="227"/>
      </w:pPr>
      <w:rPr>
        <w:rFonts w:hint="default" w:ascii="Wingdings" w:hAnsi="Wingdings"/>
      </w:rPr>
    </w:lvl>
  </w:abstractNum>
  <w:abstractNum w:abstractNumId="2">
    <w:nsid w:val="513362E4"/>
    <w:multiLevelType w:val="multilevel"/>
    <w:tmpl w:val="513362E4"/>
    <w:lvl w:ilvl="0">
      <w:start w:val="1"/>
      <w:numFmt w:val="bullet"/>
      <w:lvlText w:val=""/>
      <w:lvlJc w:val="left"/>
      <w:pPr>
        <w:ind w:left="227" w:hanging="227"/>
      </w:pPr>
      <w:rPr>
        <w:rFonts w:hint="default" w:ascii="Wingdings" w:hAnsi="Wingdings"/>
      </w:rPr>
    </w:lvl>
    <w:lvl w:ilvl="1">
      <w:start w:val="1"/>
      <w:numFmt w:val="bullet"/>
      <w:lvlText w:val=""/>
      <w:lvlJc w:val="left"/>
      <w:pPr>
        <w:ind w:left="567" w:hanging="227"/>
      </w:pPr>
      <w:rPr>
        <w:rFonts w:hint="default" w:ascii="Wingdings" w:hAnsi="Wingdings"/>
      </w:rPr>
    </w:lvl>
    <w:lvl w:ilvl="2">
      <w:start w:val="1"/>
      <w:numFmt w:val="bullet"/>
      <w:lvlText w:val=""/>
      <w:lvlJc w:val="left"/>
      <w:pPr>
        <w:ind w:left="907" w:hanging="227"/>
      </w:pPr>
      <w:rPr>
        <w:rFonts w:hint="default" w:ascii="Wingdings" w:hAnsi="Wingdings"/>
      </w:rPr>
    </w:lvl>
    <w:lvl w:ilvl="3">
      <w:start w:val="1"/>
      <w:numFmt w:val="bullet"/>
      <w:lvlText w:val=""/>
      <w:lvlJc w:val="left"/>
      <w:pPr>
        <w:ind w:left="1247" w:hanging="227"/>
      </w:pPr>
      <w:rPr>
        <w:rFonts w:hint="default" w:ascii="Wingdings" w:hAnsi="Wingdings"/>
      </w:rPr>
    </w:lvl>
    <w:lvl w:ilvl="4">
      <w:start w:val="1"/>
      <w:numFmt w:val="bullet"/>
      <w:lvlText w:val=""/>
      <w:lvlJc w:val="left"/>
      <w:pPr>
        <w:ind w:left="1587" w:hanging="227"/>
      </w:pPr>
      <w:rPr>
        <w:rFonts w:hint="default" w:ascii="Wingdings" w:hAnsi="Wingdings"/>
      </w:rPr>
    </w:lvl>
    <w:lvl w:ilvl="5">
      <w:start w:val="1"/>
      <w:numFmt w:val="bullet"/>
      <w:lvlText w:val=""/>
      <w:lvlJc w:val="left"/>
      <w:pPr>
        <w:ind w:left="1927" w:hanging="227"/>
      </w:pPr>
      <w:rPr>
        <w:rFonts w:hint="default" w:ascii="Wingdings" w:hAnsi="Wingdings"/>
      </w:rPr>
    </w:lvl>
    <w:lvl w:ilvl="6">
      <w:start w:val="1"/>
      <w:numFmt w:val="bullet"/>
      <w:lvlText w:val=""/>
      <w:lvlJc w:val="left"/>
      <w:pPr>
        <w:ind w:left="2267" w:hanging="227"/>
      </w:pPr>
      <w:rPr>
        <w:rFonts w:hint="default" w:ascii="Wingdings" w:hAnsi="Wingdings"/>
      </w:rPr>
    </w:lvl>
    <w:lvl w:ilvl="7">
      <w:start w:val="1"/>
      <w:numFmt w:val="bullet"/>
      <w:lvlText w:val=""/>
      <w:lvlJc w:val="left"/>
      <w:pPr>
        <w:ind w:left="2607" w:hanging="227"/>
      </w:pPr>
      <w:rPr>
        <w:rFonts w:hint="default" w:ascii="Wingdings" w:hAnsi="Wingdings"/>
      </w:rPr>
    </w:lvl>
    <w:lvl w:ilvl="8">
      <w:start w:val="1"/>
      <w:numFmt w:val="bullet"/>
      <w:lvlText w:val=""/>
      <w:lvlJc w:val="left"/>
      <w:pPr>
        <w:ind w:left="2947" w:hanging="227"/>
      </w:pPr>
      <w:rPr>
        <w:rFonts w:hint="default" w:ascii="Wingdings" w:hAnsi="Wingdings"/>
      </w:rPr>
    </w:lvl>
  </w:abstractNum>
  <w:abstractNum w:abstractNumId="3">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4">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5">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3">
    <w:multiLevelType w:val="multilevel"/>
    <w:lvl w:ilvl="0" w:tentative="false">
      <w:start w:val="1"/>
      <w:numFmt w:val="chineseCountingThousand"/>
      <w:lvlText w:val="%1、"/>
      <w:lvlJc w:val="left"/>
      <w:pPr>
        <w:ind w:left="420" w:hanging="420"/>
      </w:pPr>
      <w:rPr>
        <w:rFonts w:hint="default" w:ascii="FangSong,STFangSong,仿宋,sans-serif" w:hAnsi="FangSong,STFangSong,仿宋,sans-serif" w:eastAsia="FangSong,STFangSong,仿宋,sans-serif"/>
        <w:b/>
        <w:bCs/>
        <w:color w:val="5C5C5C"/>
        <w:sz w:val="36"/>
        <w:szCs w:val="36"/>
      </w:rPr>
    </w:lvl>
    <w:lvl w:ilvl="1" w:tentative="false">
      <w:start w:val="1"/>
      <w:numFmt w:val="decimal"/>
      <w:lvlText w:val="%2、"/>
      <w:lvlJc w:val="left"/>
      <w:pPr>
        <w:ind w:left="840" w:hanging="420"/>
      </w:pPr>
      <w:rPr>
        <w:bCs/>
      </w:rPr>
    </w:lvl>
    <w:lvl w:ilvl="2" w:tentative="false">
      <w:start w:val="1"/>
      <w:numFmt w:val="lowerLetter"/>
      <w:lvlText w:val="%3)"/>
      <w:lvlJc w:val="left"/>
      <w:pPr>
        <w:ind w:left="1260" w:hanging="420"/>
      </w:pPr>
      <w:rPr>
        <w:bCs/>
      </w:rPr>
    </w:lvl>
    <w:lvl w:ilvl="3" w:tentative="false">
      <w:start w:val="1"/>
      <w:numFmt w:val="chineseCountingThousand"/>
      <w:lvlText w:val="%4、"/>
      <w:lvlJc w:val="left"/>
      <w:pPr>
        <w:ind w:left="1680" w:hanging="420"/>
      </w:pPr>
      <w:rPr>
        <w:bCs/>
      </w:rPr>
    </w:lvl>
    <w:lvl w:ilvl="4" w:tentative="false">
      <w:start w:val="1"/>
      <w:numFmt w:val="decimal"/>
      <w:lvlText w:val="%5、"/>
      <w:lvlJc w:val="left"/>
      <w:pPr>
        <w:ind w:left="2100" w:hanging="420"/>
      </w:pPr>
      <w:rPr>
        <w:bCs/>
      </w:rPr>
    </w:lvl>
    <w:lvl w:ilvl="5" w:tentative="false">
      <w:start w:val="1"/>
      <w:numFmt w:val="lowerLetter"/>
      <w:lvlText w:val="%6)"/>
      <w:lvlJc w:val="left"/>
      <w:pPr>
        <w:ind w:left="2520" w:hanging="420"/>
      </w:pPr>
      <w:rPr>
        <w:bCs/>
      </w:rPr>
    </w:lvl>
    <w:lvl w:ilvl="6" w:tentative="false">
      <w:start w:val="1"/>
      <w:numFmt w:val="chineseCountingThousand"/>
      <w:lvlText w:val="%7、"/>
      <w:lvlJc w:val="left"/>
      <w:pPr>
        <w:ind w:left="2940" w:hanging="420"/>
      </w:pPr>
      <w:rPr>
        <w:bCs/>
      </w:rPr>
    </w:lvl>
    <w:lvl w:ilvl="7" w:tentative="false">
      <w:start w:val="1"/>
      <w:numFmt w:val="decimal"/>
      <w:lvlText w:val="%8、"/>
      <w:lvlJc w:val="left"/>
      <w:pPr>
        <w:ind w:left="3360" w:hanging="420"/>
      </w:pPr>
      <w:rPr>
        <w:bCs/>
      </w:rPr>
    </w:lvl>
  </w:abstractNum>
  <w:num w:numId="1">
    <w:abstractNumId w:val="30"/>
  </w:num>
  <w:num w:numId="2">
    <w:abstractNumId w:val="5"/>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1"/>
  </w:num>
  <w:num w:numId="30">
    <w:abstractNumId w:val="2"/>
  </w:num>
  <w:num w:numId="31">
    <w:abstractNumId w:val="0"/>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59531B"/>
    <w:rsid w:val="00616505"/>
    <w:rsid w:val="0062213C"/>
    <w:rsid w:val="00633F40"/>
    <w:rsid w:val="006549AD"/>
    <w:rsid w:val="00684D9C"/>
    <w:rsid w:val="00A60633"/>
    <w:rsid w:val="00BA0C1A"/>
    <w:rsid w:val="00C061CB"/>
    <w:rsid w:val="00C604EC"/>
    <w:rsid w:val="00E26251"/>
    <w:rsid w:val="00EA1EE8"/>
    <w:rsid w:val="00F53662"/>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5:docId w15:val="{20DE070A-6068-41E9-B520-D45B669F5A4D}"/>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inorHAnsi" w:hAnsiTheme="minorHAnsi" w:eastAsiaTheme="minorEastAsia" w:cstheme="minorBidi"/>
        <w:lang w:val="en-US" w:eastAsia="zh-CN" w:bidi="ar-SA"/>
      </w:rPr>
    </w:rPrDefault>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unhideWhenUsed="true" w:qFormat="true"/>
    <w:lsdException w:name="footer" w:unhideWhenUsed="true" w:qFormat="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unhideWhenUsed="true" w:qFormat="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qFormat="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semiHidden="true" w:unhideWhenUsed="true" w:qFormat="true"/>
    <w:lsdException w:name="Table Theme" w:semiHidden="true" w:unhideWhenUsed="true"/>
    <w:lsdException w:name="Placeholder Text" w:semiHidden="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true">
    <w:name w:val="Normal"/>
    <w:qFormat/>
    <w:pPr>
      <w:widowControl w:val="false"/>
      <w:jc w:val="both"/>
    </w:pPr>
    <w:rPr>
      <w:kern w:val="2"/>
      <w:sz w:val="21"/>
      <w:szCs w:val="22"/>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footer"/>
    <w:basedOn w:val="a"/>
    <w:link w:val="a4"/>
    <w:uiPriority w:val="99"/>
    <w:unhideWhenUsed/>
    <w:qFormat/>
    <w:pPr>
      <w:tabs>
        <w:tab w:val="center" w:pos="4153"/>
        <w:tab w:val="right" w:pos="8306"/>
      </w:tabs>
      <w:snapToGrid w:val="false"/>
      <w:jc w:val="left"/>
    </w:pPr>
    <w:rPr>
      <w:sz w:val="18"/>
      <w:szCs w:val="18"/>
    </w:rPr>
  </w:style>
  <w:style w:type="paragraph" w:styleId="a5">
    <w:name w:val="header"/>
    <w:basedOn w:val="a"/>
    <w:link w:val="a6"/>
    <w:uiPriority w:val="99"/>
    <w:unhideWhenUsed/>
    <w:qFormat/>
    <w:pPr>
      <w:pBdr>
        <w:bottom w:val="single" w:color="auto" w:sz="6" w:space="1"/>
      </w:pBdr>
      <w:tabs>
        <w:tab w:val="center" w:pos="4153"/>
        <w:tab w:val="right" w:pos="8306"/>
      </w:tabs>
      <w:snapToGrid w:val="false"/>
      <w:jc w:val="center"/>
    </w:pPr>
    <w:rPr>
      <w:sz w:val="18"/>
      <w:szCs w:val="18"/>
    </w:rPr>
  </w:style>
  <w:style w:type="table" w:styleId="a7">
    <w:name w:val="Table Grid"/>
    <w:basedOn w:val="a1"/>
    <w:uiPriority w:val="59"/>
    <w:qFormat/>
    <w:pPr>
      <w:widowControl w:val="false"/>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6" w:customStyle="true">
    <w:name w:val="页眉 字符"/>
    <w:basedOn w:val="a0"/>
    <w:link w:val="a5"/>
    <w:uiPriority w:val="99"/>
    <w:semiHidden/>
    <w:qFormat/>
    <w:rPr>
      <w:sz w:val="18"/>
      <w:szCs w:val="18"/>
    </w:rPr>
  </w:style>
  <w:style w:type="character" w:styleId="a4" w:customStyle="true">
    <w:name w:val="页脚 字符"/>
    <w:basedOn w:val="a0"/>
    <w:link w:val="a3"/>
    <w:uiPriority w:val="99"/>
    <w:semiHidden/>
    <w:qFormat/>
    <w:rPr>
      <w:sz w:val="18"/>
      <w:szCs w:val="18"/>
    </w:rPr>
  </w:style>
  <w:style w:type="paragraph" w:styleId="a8">
    <w:name w:val="List Paragraph"/>
    <w:basedOn w:val="a"/>
    <w:uiPriority w:val="34"/>
    <w:qFormat/>
    <w:pPr>
      <w:ind w:firstLine="420" w:firstLineChars="200"/>
    </w:pPr>
  </w:style>
  <w:style w:type="paragraph" w:styleId="t1">
    <w:name w:val="Title"/>
    <w:basedOn w:val="a"/>
    <w:next w:val="a"/>
    <w:uiPriority w:val="10"/>
    <w:qFormat/>
    <w:rsid w:val="001C768A"/>
    <w:pPr>
      <w:spacing w:before="0" w:after="0" w:line="480" w:lineRule="auto"/>
      <w:jc w:val="center"/>
      <w:outlineLvl w:val="0"/>
    </w:pPr>
    <w:rPr>
      <w:rFonts w:asciiTheme="majorHAnsi" w:hAnsiTheme="majorHAnsi" w:eastAsiaTheme="majorEastAsia" w:cstheme="majorBidi"/>
      <w:b/>
      <w:bCs/>
      <w:color/>
      <w:sz w:val="48"/>
      <w:szCs w:val="32"/>
    </w:rPr>
  </w:style>
  <w:style w:type="paragraph" w:styleId="heading1">
    <w:name w:val="heading 1"/>
    <w:basedOn w:val="a"/>
    <w:next w:val="a"/>
    <w:uiPriority w:val="9"/>
    <w:qFormat/>
    <w:rsid w:val="001C768A"/>
    <w:pPr>
      <w:keepNext/>
      <w:keepLines/>
      <w:spacing w:before="0" w:after="0" w:line="408" w:lineRule="auto"/>
      <w:jc w:val="left"/>
      <w:outlineLvl w:val="0"/>
    </w:pPr>
    <w:rPr>
      <w:b/>
      <w:bCs/>
      <w:color w:val="#1A1A1A"/>
      <w:kern w:val="4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Relationships xmlns="http://schemas.openxmlformats.org/package/2006/relationships"><Relationship Target="theme/theme1.xml" Type="http://schemas.openxmlformats.org/officeDocument/2006/relationships/theme" Id="rId8"/><Relationship Target="numbering.xml" Type="http://schemas.openxmlformats.org/officeDocument/2006/relationships/numbering" Id="rId3"/><Relationship Target="fontTable.xml" Type="http://schemas.openxmlformats.org/officeDocument/2006/relationships/fontTable" Id="rId7"/><Relationship Target="../customXml/item2.xml" Type="http://schemas.openxmlformats.org/officeDocument/2006/relationships/customXml" Id="rId2"/><Relationship Target="../customXml/item1.xml" Type="http://schemas.openxmlformats.org/officeDocument/2006/relationships/customXml" Id="rId1"/><Relationship Target="webSettings.xml" Type="http://schemas.openxmlformats.org/officeDocument/2006/relationships/webSettings" Id="rId6"/><Relationship Target="settings.xml" Type="http://schemas.openxmlformats.org/officeDocument/2006/relationships/settings" Id="rId5"/><Relationship Target="styles.xml" Type="http://schemas.openxmlformats.org/officeDocument/2006/relationships/styles" Id="rId4"/><Relationship Target="comments.xml" Type="http://schemas.openxmlformats.org/officeDocument/2006/relationships/comments" Id="rId9"/><Relationship Target="commentsExtended.xml" Type="http://schemas.microsoft.com/office/2011/relationships/commentsExtended" Id="rId10"/></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_rels/item2.xml.rels><?xml version="1.0" encoding="UTF-8" standalone="yes"?><Relationships xmlns="http://schemas.openxmlformats.org/package/2006/relationships"><Relationship Target="itemProps2.xml" Type="http://schemas.openxmlformats.org/officeDocument/2006/relationships/customXmlProps" Id="rId1"/></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Microsoft</properties:Company>
  <properties:Pages>1</properties:Pages>
  <properties:Words>18</properties:Words>
  <properties:Characters>106</properties:Characters>
  <properties:Lines>1</properties:Lines>
  <properties:Paragraphs>1</properties:Paragraphs>
  <properties:TotalTime>1</properties:TotalTime>
  <properties:ScaleCrop>false</properties:ScaleCrop>
  <properties:LinksUpToDate>false</properties:LinksUpToDate>
  <properties:CharactersWithSpaces>123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2017-01-10T09:10:00Z</dcterms:created>
  <dc:creator>Tencent</dc:creator>
  <cp:lastModifiedBy>Tencent</cp:lastModifiedBy>
  <dcterms:modified xmlns:xsi="http://www.w3.org/2001/XMLSchema-instance" xsi:type="dcterms:W3CDTF">2018-12-10T07:40:00Z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